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00" w:rsidRPr="0058145B" w:rsidRDefault="00114D00" w:rsidP="00114D00">
      <w:pPr>
        <w:spacing w:after="0" w:line="315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fr-FR"/>
        </w:rPr>
      </w:pPr>
      <w:bookmarkStart w:id="0" w:name="_GoBack"/>
      <w:bookmarkEnd w:id="0"/>
      <w:r w:rsidRPr="0058145B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FR"/>
        </w:rPr>
        <w:t>Le SNEP académique</w:t>
      </w:r>
      <w:r w:rsidRPr="0058145B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FR"/>
        </w:rPr>
        <w:br/>
        <w:t>reçu par les IA-IPR EPS</w:t>
      </w:r>
      <w:r w:rsidRPr="0058145B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FR"/>
        </w:rPr>
        <w:br/>
        <w:t>et le DRH</w:t>
      </w:r>
    </w:p>
    <w:p w:rsidR="00114D00" w:rsidRDefault="00114D00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</w:p>
    <w:p w:rsidR="00114D00" w:rsidRDefault="00114D00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</w:p>
    <w:p w:rsidR="00114D00" w:rsidRDefault="00114D00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</w:p>
    <w:p w:rsidR="00114D00" w:rsidRDefault="00114D00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Une délégation du SNEP Grenoble, composée d’un représentant des 5 départements, </w:t>
      </w:r>
      <w:r w:rsidRPr="00114D0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sera reçu</w:t>
      </w: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e</w:t>
      </w:r>
      <w:r w:rsidRPr="00114D0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lundi 28 mai pour aborder les questions </w:t>
      </w:r>
    </w:p>
    <w:p w:rsidR="00114D00" w:rsidRPr="007352E3" w:rsidRDefault="00721BC0" w:rsidP="007352E3">
      <w:pPr>
        <w:pStyle w:val="Paragraphedeliste"/>
        <w:numPr>
          <w:ilvl w:val="0"/>
          <w:numId w:val="4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des supports stagiaires.</w:t>
      </w:r>
    </w:p>
    <w:p w:rsidR="00114D00" w:rsidRPr="007352E3" w:rsidRDefault="00721BC0" w:rsidP="007352E3">
      <w:pPr>
        <w:pStyle w:val="Paragraphedeliste"/>
        <w:numPr>
          <w:ilvl w:val="0"/>
          <w:numId w:val="4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du mouvement intra-académique.</w:t>
      </w:r>
      <w:r w:rsidR="00114D00" w:rsidRP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</w:t>
      </w:r>
    </w:p>
    <w:p w:rsidR="00114D00" w:rsidRPr="007352E3" w:rsidRDefault="00114D00" w:rsidP="007352E3">
      <w:pPr>
        <w:pStyle w:val="Paragraphedeliste"/>
        <w:numPr>
          <w:ilvl w:val="0"/>
          <w:numId w:val="4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 w:rsidRP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des SPEA (postes spécifiques EPS)</w:t>
      </w:r>
      <w:r w:rsidR="00721BC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.</w:t>
      </w:r>
    </w:p>
    <w:p w:rsidR="00114D00" w:rsidRPr="007352E3" w:rsidRDefault="00114D00" w:rsidP="007352E3">
      <w:pPr>
        <w:pStyle w:val="Paragraphedeliste"/>
        <w:numPr>
          <w:ilvl w:val="0"/>
          <w:numId w:val="4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 w:rsidRP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de </w:t>
      </w:r>
      <w:r w:rsidR="00721BC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la classe exceptionnelle.</w:t>
      </w:r>
    </w:p>
    <w:p w:rsidR="00114D00" w:rsidRPr="007352E3" w:rsidRDefault="00114D00" w:rsidP="007352E3">
      <w:pPr>
        <w:pStyle w:val="Paragraphedeliste"/>
        <w:numPr>
          <w:ilvl w:val="0"/>
          <w:numId w:val="4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 w:rsidRP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des installations sportives.</w:t>
      </w:r>
    </w:p>
    <w:p w:rsidR="00F269F3" w:rsidRPr="00114D00" w:rsidRDefault="00F269F3" w:rsidP="00114D00">
      <w:pPr>
        <w:spacing w:after="0" w:line="315" w:lineRule="atLeast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</w:p>
    <w:p w:rsidR="00114D00" w:rsidRDefault="00114D00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u w:val="single"/>
          <w:lang w:eastAsia="fr-FR"/>
        </w:rPr>
      </w:pPr>
      <w:r w:rsidRPr="00114D00">
        <w:rPr>
          <w:rFonts w:ascii="Arial" w:eastAsia="Times New Roman" w:hAnsi="Arial" w:cs="Arial"/>
          <w:b/>
          <w:bCs/>
          <w:color w:val="3C4858"/>
          <w:sz w:val="21"/>
          <w:szCs w:val="21"/>
          <w:u w:val="single"/>
          <w:lang w:eastAsia="fr-FR"/>
        </w:rPr>
        <w:t>Nos mandats:</w:t>
      </w:r>
    </w:p>
    <w:p w:rsidR="007352E3" w:rsidRDefault="007352E3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u w:val="single"/>
          <w:lang w:eastAsia="fr-FR"/>
        </w:rPr>
      </w:pPr>
    </w:p>
    <w:p w:rsidR="00721BC0" w:rsidRPr="00721BC0" w:rsidRDefault="00721BC0" w:rsidP="00721BC0">
      <w:pPr>
        <w:pStyle w:val="Paragraphedeliste"/>
        <w:numPr>
          <w:ilvl w:val="0"/>
          <w:numId w:val="3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Faire en sorte que les supports stagiaires ne bloquent pas des postes au mouvement (utiliser le plus souvent possible des BMP). </w:t>
      </w:r>
      <w:r w:rsidRPr="00721BC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Tenir compte de la volonté de</w:t>
      </w: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s </w:t>
      </w:r>
      <w:r w:rsidRPr="00721BC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équipe</w:t>
      </w: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s de recevoir ou non un stagiaire</w:t>
      </w:r>
      <w:r w:rsidRPr="00721BC0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et des conditions d’accueil du stagiaire</w:t>
      </w: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.</w:t>
      </w:r>
    </w:p>
    <w:p w:rsidR="007352E3" w:rsidRPr="00114D00" w:rsidRDefault="007352E3" w:rsidP="00114D00">
      <w:pPr>
        <w:spacing w:after="0" w:line="315" w:lineRule="atLeast"/>
        <w:rPr>
          <w:rFonts w:ascii="Arial" w:eastAsia="Times New Roman" w:hAnsi="Arial" w:cs="Arial"/>
          <w:color w:val="3C4858"/>
          <w:sz w:val="21"/>
          <w:szCs w:val="21"/>
          <w:u w:val="single"/>
          <w:lang w:eastAsia="fr-FR"/>
        </w:rPr>
      </w:pPr>
    </w:p>
    <w:p w:rsidR="007352E3" w:rsidRDefault="00114D00" w:rsidP="00F269F3">
      <w:pPr>
        <w:pStyle w:val="Paragraphedeliste"/>
        <w:numPr>
          <w:ilvl w:val="0"/>
          <w:numId w:val="3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fluidifier un maximum le mouvement pour satisfaire le</w:t>
      </w:r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plus grand nombre de collègues (éviter les postes bloqués)</w:t>
      </w:r>
      <w:proofErr w:type="gramStart"/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,être</w:t>
      </w:r>
      <w:proofErr w:type="gramEnd"/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vigilant sur le respect des règles du mouvement.</w:t>
      </w:r>
    </w:p>
    <w:p w:rsidR="00F269F3" w:rsidRDefault="00F269F3" w:rsidP="00114D00">
      <w:p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</w:p>
    <w:p w:rsidR="00114D00" w:rsidRPr="00F269F3" w:rsidRDefault="00114D00" w:rsidP="00F269F3">
      <w:pPr>
        <w:pStyle w:val="Paragraphedeliste"/>
        <w:numPr>
          <w:ilvl w:val="0"/>
          <w:numId w:val="3"/>
        </w:numPr>
        <w:spacing w:after="0" w:line="315" w:lineRule="atLeast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  <w:r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Les postes spécifiques en EPS permettent d’offrir aux élèves un enseignement d’approfondissement dans une APSA. Les règles d’attribution de ces postes doivent être claires et transparentes pour ne pas dérègle</w:t>
      </w:r>
      <w:r w:rsid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r le mouvement des mutations. D</w:t>
      </w:r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’autre</w:t>
      </w:r>
      <w:r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part</w:t>
      </w:r>
      <w:r w:rsid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,</w:t>
      </w:r>
      <w:r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le professeur EPS doit être partie prenante dans la formation des élèves </w:t>
      </w:r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et pas seulement l’administratif </w:t>
      </w:r>
      <w:r w:rsid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de la section sportive </w:t>
      </w:r>
      <w:r w:rsidR="00F269F3"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ou le porteur de valise du mouvement sportif.</w:t>
      </w:r>
    </w:p>
    <w:p w:rsidR="00F269F3" w:rsidRPr="00114D00" w:rsidRDefault="00F269F3" w:rsidP="00114D00">
      <w:pPr>
        <w:spacing w:after="0" w:line="315" w:lineRule="atLeast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</w:p>
    <w:p w:rsidR="007352E3" w:rsidRPr="007352E3" w:rsidRDefault="00114D00" w:rsidP="00F269F3">
      <w:pPr>
        <w:pStyle w:val="Paragraphedeliste"/>
        <w:numPr>
          <w:ilvl w:val="0"/>
          <w:numId w:val="3"/>
        </w:numPr>
      </w:pPr>
      <w:r w:rsidRPr="00F269F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Sur la classe exceptionnelle, promouvoir les plus anciens: Toutes et tous exceptionnel(le)s !</w:t>
      </w:r>
    </w:p>
    <w:p w:rsidR="007352E3" w:rsidRPr="007352E3" w:rsidRDefault="007352E3" w:rsidP="007352E3">
      <w:pPr>
        <w:pStyle w:val="Paragraphedeliste"/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</w:pPr>
    </w:p>
    <w:p w:rsidR="00671AD9" w:rsidRPr="00F269F3" w:rsidRDefault="00F269F3" w:rsidP="00F269F3">
      <w:pPr>
        <w:pStyle w:val="Paragraphedeliste"/>
        <w:numPr>
          <w:ilvl w:val="0"/>
          <w:numId w:val="3"/>
        </w:numPr>
      </w:pP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Clarifier le rôle et la position de chacun lorsqu’il y a construction d’installations sportives. Le SNEP demande à être</w:t>
      </w:r>
      <w:r w:rsid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consulté systématiquement (ainsi </w:t>
      </w:r>
      <w:r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que l’équipe EPS de l’établissement</w:t>
      </w:r>
      <w:r w:rsidR="007352E3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 xml:space="preserve"> concerné) dès qu’un projet d’installation sportive est à l’ordre du jour. Le SNEP doit pouvoir compter sur le soutien des IPR EPS dans son dialogue avec les services compétents (ville-département ou région).</w:t>
      </w:r>
    </w:p>
    <w:p w:rsidR="00F269F3" w:rsidRDefault="00F269F3" w:rsidP="00F269F3">
      <w:pPr>
        <w:pStyle w:val="Paragraphedeliste"/>
      </w:pPr>
    </w:p>
    <w:p w:rsidR="00F269F3" w:rsidRDefault="00F269F3" w:rsidP="00F269F3">
      <w:r>
        <w:t xml:space="preserve"> </w:t>
      </w:r>
    </w:p>
    <w:sectPr w:rsidR="00F2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892"/>
    <w:multiLevelType w:val="hybridMultilevel"/>
    <w:tmpl w:val="B5AE48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63BBC"/>
    <w:multiLevelType w:val="hybridMultilevel"/>
    <w:tmpl w:val="A2FADCA4"/>
    <w:lvl w:ilvl="0" w:tplc="0B563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9580A"/>
    <w:multiLevelType w:val="hybridMultilevel"/>
    <w:tmpl w:val="665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309E8"/>
    <w:multiLevelType w:val="hybridMultilevel"/>
    <w:tmpl w:val="79949E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00"/>
    <w:rsid w:val="00114D00"/>
    <w:rsid w:val="0058145B"/>
    <w:rsid w:val="00671AD9"/>
    <w:rsid w:val="00721BC0"/>
    <w:rsid w:val="007352E3"/>
    <w:rsid w:val="00F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P</dc:creator>
  <cp:lastModifiedBy>Thierry P</cp:lastModifiedBy>
  <cp:revision>2</cp:revision>
  <dcterms:created xsi:type="dcterms:W3CDTF">2018-05-25T16:07:00Z</dcterms:created>
  <dcterms:modified xsi:type="dcterms:W3CDTF">2018-05-25T16:07:00Z</dcterms:modified>
</cp:coreProperties>
</file>